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FD1" w:rsidRPr="00A76CFB" w:rsidRDefault="008D6FD1" w:rsidP="008D6FD1">
      <w:pPr>
        <w:jc w:val="center"/>
        <w:rPr>
          <w:rFonts w:ascii="Times New Roman" w:hAnsi="Times New Roman" w:cs="Times New Roman"/>
          <w:sz w:val="36"/>
          <w:szCs w:val="36"/>
        </w:rPr>
      </w:pPr>
      <w:r w:rsidRPr="00A76CFB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608A4323" wp14:editId="333E7E64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FD1" w:rsidRPr="00A76CFB" w:rsidRDefault="008D6FD1" w:rsidP="008D6FD1">
      <w:pPr>
        <w:spacing w:before="100" w:beforeAutospacing="1" w:after="100" w:afterAutospacing="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6CFB">
        <w:rPr>
          <w:rFonts w:ascii="Times New Roman" w:hAnsi="Times New Roman" w:cs="Times New Roman"/>
          <w:i/>
          <w:sz w:val="24"/>
          <w:szCs w:val="24"/>
        </w:rPr>
        <w:t>Journal of Geophysical Research: Earth Surface</w:t>
      </w:r>
    </w:p>
    <w:p w:rsidR="008D6FD1" w:rsidRPr="00A76CFB" w:rsidRDefault="008D6FD1" w:rsidP="008D6FD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76CFB">
        <w:rPr>
          <w:rFonts w:ascii="Times New Roman" w:hAnsi="Times New Roman" w:cs="Times New Roman"/>
          <w:sz w:val="24"/>
          <w:szCs w:val="24"/>
        </w:rPr>
        <w:t>Supporting Information for</w:t>
      </w:r>
    </w:p>
    <w:p w:rsidR="008D6FD1" w:rsidRPr="00A76CFB" w:rsidRDefault="008D6FD1" w:rsidP="008D6FD1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CFB">
        <w:rPr>
          <w:rFonts w:ascii="Times New Roman" w:hAnsi="Times New Roman" w:cs="Times New Roman"/>
          <w:b/>
          <w:sz w:val="28"/>
          <w:szCs w:val="28"/>
        </w:rPr>
        <w:t>Simulat</w:t>
      </w:r>
      <w:r w:rsidR="00CA1A99">
        <w:rPr>
          <w:rFonts w:ascii="Times New Roman" w:hAnsi="Times New Roman" w:cs="Times New Roman"/>
          <w:b/>
          <w:sz w:val="28"/>
          <w:szCs w:val="28"/>
        </w:rPr>
        <w:t>e</w:t>
      </w:r>
      <w:r w:rsidRPr="00A76CFB">
        <w:rPr>
          <w:rFonts w:ascii="Times New Roman" w:hAnsi="Times New Roman" w:cs="Times New Roman"/>
          <w:b/>
          <w:sz w:val="28"/>
          <w:szCs w:val="28"/>
        </w:rPr>
        <w:t xml:space="preserve"> modern and past erosion rates in response to tectonic and climatic forcing: an example from Himalaya-Karakoram mountains and Indus River Basin in southwest Asia</w:t>
      </w:r>
      <w:bookmarkEnd w:id="0"/>
      <w:r w:rsidRPr="00A76C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6FD1" w:rsidRPr="00A76CFB" w:rsidRDefault="008D6FD1" w:rsidP="008D6FD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sz w:val="24"/>
          <w:szCs w:val="24"/>
        </w:rPr>
        <w:t>Han Feng, Huayu Lu</w:t>
      </w:r>
      <w:r w:rsidRPr="00A76CF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A76CFB">
        <w:rPr>
          <w:rFonts w:ascii="Times New Roman" w:hAnsi="Times New Roman" w:cs="Times New Roman"/>
          <w:sz w:val="24"/>
          <w:szCs w:val="24"/>
        </w:rPr>
        <w:t xml:space="preserve">, Xianyan Wang, Zhiyong Han </w:t>
      </w:r>
    </w:p>
    <w:p w:rsidR="008D6FD1" w:rsidRPr="00A76CFB" w:rsidRDefault="008D6FD1" w:rsidP="008D6FD1">
      <w:pPr>
        <w:spacing w:before="100" w:beforeAutospacing="1"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sz w:val="24"/>
          <w:szCs w:val="24"/>
        </w:rPr>
        <w:t>School of Geography and Ocean Science; Nanjing University, Nanjing 210023, China.</w:t>
      </w:r>
    </w:p>
    <w:p w:rsidR="008D6FD1" w:rsidRPr="00A76CFB" w:rsidRDefault="008D6FD1" w:rsidP="008D6FD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sz w:val="24"/>
          <w:szCs w:val="24"/>
        </w:rPr>
        <w:t>*Corresponding author: Huayu Lu (huayulu@nju.edu.cn)</w:t>
      </w:r>
    </w:p>
    <w:p w:rsidR="008D6FD1" w:rsidRPr="00A76CFB" w:rsidRDefault="008D6FD1" w:rsidP="008D6FD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</w:p>
    <w:p w:rsidR="008D6FD1" w:rsidRPr="00A76CFB" w:rsidRDefault="008D6FD1" w:rsidP="008D6FD1">
      <w:pPr>
        <w:rPr>
          <w:rFonts w:ascii="Times New Roman" w:hAnsi="Times New Roman" w:cs="Times New Roman"/>
          <w:b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t xml:space="preserve">Contents of this file </w:t>
      </w:r>
    </w:p>
    <w:p w:rsidR="008D6FD1" w:rsidRPr="00A76CFB" w:rsidRDefault="008D6FD1" w:rsidP="008D6FD1">
      <w:pPr>
        <w:rPr>
          <w:rFonts w:ascii="Times New Roman" w:hAnsi="Times New Roman" w:cs="Times New Roman"/>
          <w:sz w:val="24"/>
          <w:szCs w:val="24"/>
        </w:rPr>
      </w:pPr>
    </w:p>
    <w:p w:rsidR="008D6FD1" w:rsidRPr="00A76CFB" w:rsidRDefault="008D6FD1" w:rsidP="008D6FD1">
      <w:pPr>
        <w:ind w:left="720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sz w:val="24"/>
          <w:szCs w:val="24"/>
        </w:rPr>
        <w:t xml:space="preserve">Text S1 </w:t>
      </w:r>
    </w:p>
    <w:p w:rsidR="008D6FD1" w:rsidRPr="00A76CFB" w:rsidRDefault="008D6FD1" w:rsidP="008D6FD1">
      <w:pPr>
        <w:ind w:left="720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sz w:val="24"/>
          <w:szCs w:val="24"/>
        </w:rPr>
        <w:t xml:space="preserve">Tables S3 and S6 </w:t>
      </w:r>
    </w:p>
    <w:p w:rsidR="008D6FD1" w:rsidRPr="00A76CFB" w:rsidRDefault="008D6FD1" w:rsidP="008D6FD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D6FD1" w:rsidRPr="00A76CFB" w:rsidRDefault="008D6FD1" w:rsidP="008D6FD1">
      <w:pPr>
        <w:rPr>
          <w:rFonts w:ascii="Times New Roman" w:hAnsi="Times New Roman" w:cs="Times New Roman"/>
          <w:b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t>Additional Supporting Information (Files uploaded separately)</w:t>
      </w:r>
    </w:p>
    <w:p w:rsidR="008D6FD1" w:rsidRPr="00A76CFB" w:rsidRDefault="008D6FD1" w:rsidP="008D6FD1">
      <w:pPr>
        <w:rPr>
          <w:rFonts w:ascii="Times New Roman" w:hAnsi="Times New Roman" w:cs="Times New Roman"/>
          <w:b/>
          <w:sz w:val="24"/>
          <w:szCs w:val="24"/>
        </w:rPr>
      </w:pPr>
    </w:p>
    <w:p w:rsidR="008D6FD1" w:rsidRPr="00A76CFB" w:rsidRDefault="008D6FD1" w:rsidP="008D6FD1">
      <w:pPr>
        <w:ind w:left="720"/>
        <w:rPr>
          <w:rFonts w:ascii="Times New Roman" w:hAnsi="Times New Roman" w:cs="Times New Roman"/>
          <w:b/>
          <w:bCs/>
          <w:szCs w:val="24"/>
        </w:rPr>
      </w:pPr>
      <w:r w:rsidRPr="00A76CFB">
        <w:rPr>
          <w:rFonts w:ascii="Times New Roman" w:hAnsi="Times New Roman" w:cs="Times New Roman"/>
          <w:sz w:val="24"/>
          <w:szCs w:val="24"/>
        </w:rPr>
        <w:t>Captions for Tables S1, S2, S4 and S5</w:t>
      </w:r>
    </w:p>
    <w:p w:rsidR="008D6FD1" w:rsidRPr="00A76CFB" w:rsidRDefault="008D6FD1" w:rsidP="008D6FD1">
      <w:pPr>
        <w:pStyle w:val="SMHeading"/>
        <w:rPr>
          <w:sz w:val="22"/>
          <w:szCs w:val="22"/>
        </w:rPr>
      </w:pPr>
    </w:p>
    <w:p w:rsidR="008D6FD1" w:rsidRPr="00A76CFB" w:rsidRDefault="008D6FD1" w:rsidP="008D6FD1">
      <w:pPr>
        <w:pStyle w:val="SMcaption"/>
      </w:pPr>
    </w:p>
    <w:p w:rsidR="008D6FD1" w:rsidRPr="00A76CFB" w:rsidRDefault="008D6FD1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8D6FD1" w:rsidRPr="00A76CFB" w:rsidSect="00AB665D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27793" w:rsidRPr="00A76CFB" w:rsidRDefault="00E64F72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lastRenderedPageBreak/>
        <w:t>Text S1</w:t>
      </w:r>
      <w:r w:rsidR="00227793" w:rsidRPr="00A76CFB">
        <w:rPr>
          <w:rFonts w:ascii="Times New Roman" w:hAnsi="Times New Roman" w:cs="Times New Roman"/>
          <w:b/>
          <w:sz w:val="24"/>
          <w:szCs w:val="24"/>
        </w:rPr>
        <w:br/>
      </w:r>
      <w:r w:rsidR="006E2547">
        <w:rPr>
          <w:rFonts w:ascii="Times New Roman" w:hAnsi="Times New Roman" w:cs="Times New Roman"/>
          <w:sz w:val="24"/>
          <w:szCs w:val="24"/>
        </w:rPr>
        <w:t xml:space="preserve">   </w:t>
      </w:r>
      <w:r w:rsidR="00227793" w:rsidRPr="00A76CFB">
        <w:rPr>
          <w:rFonts w:ascii="Times New Roman" w:hAnsi="Times New Roman" w:cs="Times New Roman"/>
          <w:sz w:val="24"/>
          <w:szCs w:val="24"/>
        </w:rPr>
        <w:t>Changes in exhumation rate would perturb the initial thermal profile and alter the closure temperature of the thermal system</w:t>
      </w:r>
      <w:r w:rsidR="006E2547">
        <w:rPr>
          <w:rFonts w:ascii="Times New Roman" w:hAnsi="Times New Roman" w:cs="Times New Roman"/>
          <w:sz w:val="24"/>
          <w:szCs w:val="24"/>
        </w:rPr>
        <w:t xml:space="preserve"> in orogeny system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 (</w:t>
      </w:r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Herman et al., 2010; Willett et al., 2013</w:t>
      </w:r>
      <w:r w:rsidR="00227793" w:rsidRPr="00A76CFB">
        <w:rPr>
          <w:rFonts w:ascii="Times New Roman" w:hAnsi="Times New Roman" w:cs="Times New Roman"/>
          <w:sz w:val="24"/>
          <w:szCs w:val="24"/>
        </w:rPr>
        <w:t>). In this study</w:t>
      </w:r>
      <w:r w:rsidR="006E2547">
        <w:rPr>
          <w:rFonts w:ascii="Times New Roman" w:hAnsi="Times New Roman" w:cs="Times New Roman"/>
          <w:sz w:val="24"/>
          <w:szCs w:val="24"/>
        </w:rPr>
        <w:t>,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 we used the AGE2E-DOT program (</w:t>
      </w:r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Brandon et al. (1998); see also Ehlers et al.,</w:t>
      </w:r>
      <w:r w:rsid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 xml:space="preserve"> 2005</w:t>
      </w:r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)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 to convert bedrock AFT ages to</w:t>
      </w:r>
      <w:r w:rsidR="006E2547">
        <w:rPr>
          <w:rFonts w:ascii="Times New Roman" w:hAnsi="Times New Roman" w:cs="Times New Roman"/>
          <w:sz w:val="24"/>
          <w:szCs w:val="24"/>
        </w:rPr>
        <w:t xml:space="preserve"> surface</w:t>
      </w:r>
      <w:r w:rsidR="006E2547" w:rsidRPr="00A76CFB">
        <w:rPr>
          <w:rFonts w:ascii="Times New Roman" w:hAnsi="Times New Roman" w:cs="Times New Roman"/>
          <w:sz w:val="24"/>
          <w:szCs w:val="24"/>
        </w:rPr>
        <w:t xml:space="preserve"> </w:t>
      </w:r>
      <w:r w:rsidR="00227793" w:rsidRPr="00A76CFB">
        <w:rPr>
          <w:rFonts w:ascii="Times New Roman" w:hAnsi="Times New Roman" w:cs="Times New Roman"/>
          <w:sz w:val="24"/>
          <w:szCs w:val="24"/>
        </w:rPr>
        <w:t>erosion rate. The program assumes a steady state thermal field and solves the advection diffusion equation for user-defined heat flux and material properties. In fast-eroding orogens such as the Himalaya and Karakoram, a transient thermal field will approach steady state very quickly and a steady state thermal field can be assumed (</w:t>
      </w:r>
      <w:proofErr w:type="spellStart"/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Stüwe</w:t>
      </w:r>
      <w:proofErr w:type="spellEnd"/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 xml:space="preserve"> et al., 1994; </w:t>
      </w:r>
      <w:proofErr w:type="spellStart"/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Rahl</w:t>
      </w:r>
      <w:proofErr w:type="spellEnd"/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 xml:space="preserve"> et al., 2007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). The thermal properties input to the program are listed in </w:t>
      </w:r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FF0000"/>
        </w:rPr>
        <w:t>Table S</w:t>
      </w:r>
      <w:r w:rsidR="002B762D" w:rsidRPr="00A76CFB">
        <w:rPr>
          <w:rFonts w:ascii="Times New Roman" w:hAnsi="Times New Roman" w:cs="Times New Roman"/>
          <w:color w:val="0070C0"/>
          <w:sz w:val="24"/>
          <w:szCs w:val="24"/>
          <w:u w:color="FF0000"/>
        </w:rPr>
        <w:t>6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. Because data on the radioactive heat production of the Karakoram and Kohistan-Ladakh arc are scarce, we used the average heat production of global granodiorite (2.7 </w:t>
      </w:r>
      <w:r w:rsidR="00227793" w:rsidRPr="00A76CFB">
        <w:rPr>
          <w:rFonts w:ascii="Cambria Math" w:hAnsi="Cambria Math" w:cs="Cambria Math"/>
          <w:sz w:val="24"/>
          <w:szCs w:val="24"/>
          <w:lang w:val="zh-TW" w:eastAsia="zh-TW"/>
        </w:rPr>
        <w:t>𝜇</w:t>
      </w:r>
      <w:r w:rsidR="00227793" w:rsidRPr="00A76CFB">
        <w:rPr>
          <w:rFonts w:ascii="Times New Roman" w:hAnsi="Times New Roman" w:cs="Times New Roman"/>
          <w:sz w:val="24"/>
          <w:szCs w:val="24"/>
        </w:rPr>
        <w:t>W·m</w:t>
      </w:r>
      <w:r w:rsidR="00227793" w:rsidRPr="00A76CFB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) for the Kohistan-Ladakh arc and a range between granodiorite and schist (1.5 to 2.7 </w:t>
      </w:r>
      <w:r w:rsidR="00227793" w:rsidRPr="00A76CFB">
        <w:rPr>
          <w:rFonts w:ascii="Cambria Math" w:hAnsi="Cambria Math" w:cs="Cambria Math"/>
          <w:sz w:val="24"/>
          <w:szCs w:val="24"/>
          <w:lang w:val="zh-TW" w:eastAsia="zh-TW"/>
        </w:rPr>
        <w:t>𝜇</w:t>
      </w:r>
      <w:r w:rsidR="00227793" w:rsidRPr="00A76CFB">
        <w:rPr>
          <w:rFonts w:ascii="Times New Roman" w:hAnsi="Times New Roman" w:cs="Times New Roman"/>
          <w:sz w:val="24"/>
          <w:szCs w:val="24"/>
        </w:rPr>
        <w:t>W·m</w:t>
      </w:r>
      <w:r w:rsidR="00227793" w:rsidRPr="00A76CFB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227793" w:rsidRPr="00A76CFB">
        <w:rPr>
          <w:rFonts w:ascii="Times New Roman" w:hAnsi="Times New Roman" w:cs="Times New Roman"/>
          <w:sz w:val="24"/>
          <w:szCs w:val="24"/>
        </w:rPr>
        <w:t>) for the Karakoram (</w:t>
      </w:r>
      <w:proofErr w:type="spellStart"/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Rybach</w:t>
      </w:r>
      <w:proofErr w:type="spellEnd"/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 xml:space="preserve"> and Cermak, 1982</w:t>
      </w:r>
      <w:r w:rsidR="00227793" w:rsidRPr="00A76CFB">
        <w:rPr>
          <w:rFonts w:ascii="Times New Roman" w:hAnsi="Times New Roman" w:cs="Times New Roman"/>
          <w:sz w:val="24"/>
          <w:szCs w:val="24"/>
        </w:rPr>
        <w:t xml:space="preserve">). Some of the properties have measured values within a range (i.e. the upper and lower limit of the parameters), and thus maximum and minimum simulated erosion rates could be obtained when we surveyed each combination of input parameters </w:t>
      </w:r>
      <w:r w:rsidR="00A76CFB">
        <w:rPr>
          <w:rFonts w:ascii="Times New Roman" w:hAnsi="Times New Roman" w:cs="Times New Roman"/>
          <w:sz w:val="24"/>
          <w:szCs w:val="24"/>
        </w:rPr>
        <w:t>(</w:t>
      </w:r>
      <w:r w:rsidR="00A76CFB" w:rsidRPr="00A76CFB">
        <w:rPr>
          <w:rFonts w:ascii="Times New Roman" w:hAnsi="Times New Roman" w:cs="Times New Roman" w:hint="eastAsia"/>
          <w:color w:val="0070C0"/>
          <w:sz w:val="24"/>
          <w:szCs w:val="24"/>
        </w:rPr>
        <w:t>Table</w:t>
      </w:r>
      <w:r w:rsidR="00A76CFB" w:rsidRPr="00A76CFB">
        <w:rPr>
          <w:rFonts w:ascii="Times New Roman" w:hAnsi="Times New Roman" w:cs="Times New Roman"/>
          <w:color w:val="0070C0"/>
          <w:sz w:val="24"/>
          <w:szCs w:val="24"/>
        </w:rPr>
        <w:t xml:space="preserve"> S1</w:t>
      </w:r>
      <w:r w:rsidR="00A76CFB">
        <w:rPr>
          <w:rFonts w:ascii="Times New Roman" w:hAnsi="Times New Roman" w:cs="Times New Roman"/>
          <w:sz w:val="24"/>
          <w:szCs w:val="24"/>
        </w:rPr>
        <w:t xml:space="preserve">) </w:t>
      </w:r>
      <w:r w:rsidR="00227793" w:rsidRPr="00A76CFB">
        <w:rPr>
          <w:rFonts w:ascii="Times New Roman" w:hAnsi="Times New Roman" w:cs="Times New Roman"/>
          <w:sz w:val="24"/>
          <w:szCs w:val="24"/>
        </w:rPr>
        <w:t>(</w:t>
      </w:r>
      <w:r w:rsidR="00227793" w:rsidRPr="00A76CFB">
        <w:rPr>
          <w:rFonts w:ascii="Times New Roman" w:hAnsi="Times New Roman" w:cs="Times New Roman"/>
          <w:color w:val="0070C0"/>
          <w:sz w:val="24"/>
          <w:szCs w:val="24"/>
          <w:u w:color="0070C0"/>
        </w:rPr>
        <w:t>Thiede et al., 2009</w:t>
      </w:r>
      <w:r w:rsidR="00227793" w:rsidRPr="00A76CFB">
        <w:rPr>
          <w:rFonts w:ascii="Times New Roman" w:hAnsi="Times New Roman" w:cs="Times New Roman"/>
          <w:sz w:val="24"/>
          <w:szCs w:val="24"/>
        </w:rPr>
        <w:t>).</w:t>
      </w:r>
    </w:p>
    <w:p w:rsidR="008D6FD1" w:rsidRPr="00A76CFB" w:rsidRDefault="008D6FD1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8D6FD1" w:rsidRPr="00A76CFB" w:rsidSect="008D6FD1">
          <w:pgSz w:w="11900" w:h="16840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</w:p>
    <w:p w:rsidR="008D6FD1" w:rsidRPr="00A76CFB" w:rsidRDefault="008D6FD1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lastRenderedPageBreak/>
        <w:t>Table S1.</w:t>
      </w:r>
      <w:r w:rsidRPr="00A76CFB">
        <w:rPr>
          <w:rFonts w:ascii="Times New Roman" w:hAnsi="Times New Roman" w:cs="Times New Roman"/>
          <w:sz w:val="24"/>
          <w:szCs w:val="24"/>
        </w:rPr>
        <w:t xml:space="preserve"> Compiled apatite fission track data and corresponding sub-basins (Files uploaded separately).</w:t>
      </w:r>
    </w:p>
    <w:p w:rsidR="008D6FD1" w:rsidRPr="00A76CFB" w:rsidRDefault="008D6FD1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t>Table S2.</w:t>
      </w:r>
      <w:r w:rsidRPr="00A76CFB">
        <w:rPr>
          <w:rFonts w:ascii="Times New Roman" w:hAnsi="Times New Roman" w:cs="Times New Roman"/>
          <w:sz w:val="24"/>
          <w:szCs w:val="24"/>
        </w:rPr>
        <w:t xml:space="preserve"> Sediment yield data from gauge stations along the Indus </w:t>
      </w:r>
      <w:r w:rsidR="006E2547">
        <w:rPr>
          <w:rFonts w:ascii="Times New Roman" w:hAnsi="Times New Roman" w:cs="Times New Roman"/>
          <w:sz w:val="24"/>
          <w:szCs w:val="24"/>
        </w:rPr>
        <w:t xml:space="preserve">River </w:t>
      </w:r>
      <w:r w:rsidRPr="00A76CFB">
        <w:rPr>
          <w:rFonts w:ascii="Times New Roman" w:hAnsi="Times New Roman" w:cs="Times New Roman"/>
          <w:sz w:val="24"/>
          <w:szCs w:val="24"/>
        </w:rPr>
        <w:t>trunk and tributaries, compared with the modeled erosion mass upstream for each gauge station (Files uploaded separately).</w:t>
      </w:r>
    </w:p>
    <w:p w:rsidR="00E64F72" w:rsidRDefault="00E64F72" w:rsidP="00E64F72">
      <w:pPr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t>Table S3.</w:t>
      </w:r>
      <w:r w:rsidRPr="00A76CFB">
        <w:rPr>
          <w:rFonts w:ascii="Times New Roman" w:hAnsi="Times New Roman" w:cs="Times New Roman"/>
          <w:sz w:val="24"/>
          <w:szCs w:val="24"/>
        </w:rPr>
        <w:t xml:space="preserve"> Neogene and Paleogene sedimentary volumes of depositional localities in the Indus River Basin (</w:t>
      </w:r>
      <w:r w:rsidRPr="00A76CFB">
        <w:rPr>
          <w:rFonts w:ascii="Times New Roman" w:hAnsi="Times New Roman" w:cs="Times New Roman"/>
          <w:color w:val="0070C0"/>
          <w:sz w:val="24"/>
          <w:szCs w:val="24"/>
        </w:rPr>
        <w:t>Clift et al., 2001</w:t>
      </w:r>
      <w:r w:rsidRPr="00A76CFB">
        <w:rPr>
          <w:rFonts w:ascii="Times New Roman" w:hAnsi="Times New Roman" w:cs="Times New Roman"/>
          <w:sz w:val="24"/>
          <w:szCs w:val="24"/>
        </w:rPr>
        <w:t>) and the corresponding sedimentation rate for each time interval based on age-thickness data (</w:t>
      </w:r>
      <w:r w:rsidRPr="00A76CFB">
        <w:rPr>
          <w:rFonts w:ascii="Times New Roman" w:hAnsi="Times New Roman" w:cs="Times New Roman"/>
          <w:color w:val="0070C0"/>
          <w:sz w:val="24"/>
          <w:szCs w:val="24"/>
        </w:rPr>
        <w:t>Burbank et al., 1996; Najman, 2006; White et al., 2001; Antoine et al., 2013</w:t>
      </w:r>
      <w:r w:rsidRPr="00A76CF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E2547" w:rsidRPr="00A76CFB" w:rsidRDefault="006E2547" w:rsidP="00E64F7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5000" w:type="pct"/>
        <w:tblLayout w:type="fixed"/>
        <w:tblLook w:val="04A0" w:firstRow="1" w:lastRow="0" w:firstColumn="1" w:lastColumn="0" w:noHBand="0" w:noVBand="1"/>
      </w:tblPr>
      <w:tblGrid>
        <w:gridCol w:w="2124"/>
        <w:gridCol w:w="991"/>
        <w:gridCol w:w="1134"/>
        <w:gridCol w:w="709"/>
        <w:gridCol w:w="709"/>
        <w:gridCol w:w="566"/>
        <w:gridCol w:w="850"/>
        <w:gridCol w:w="568"/>
        <w:gridCol w:w="649"/>
      </w:tblGrid>
      <w:tr w:rsidR="00E64F72" w:rsidRPr="00A76CFB" w:rsidTr="00880A19">
        <w:trPr>
          <w:trHeight w:val="280"/>
        </w:trPr>
        <w:tc>
          <w:tcPr>
            <w:tcW w:w="1280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Total Neogene sediment volume  (10</w:t>
            </w:r>
            <w:r w:rsidRPr="00A76CFB">
              <w:rPr>
                <w:rFonts w:ascii="Times New Roman" w:eastAsia="DengXian" w:hAnsi="Times New Roman" w:cs="Times New Roman"/>
                <w:szCs w:val="20"/>
                <w:vertAlign w:val="superscript"/>
              </w:rPr>
              <w:t>3</w:t>
            </w:r>
            <w:r w:rsidRPr="00A76CFB">
              <w:rPr>
                <w:rFonts w:ascii="Times New Roman" w:eastAsia="DengXian" w:hAnsi="Times New Roman" w:cs="Times New Roman"/>
                <w:szCs w:val="20"/>
              </w:rPr>
              <w:t xml:space="preserve"> km</w:t>
            </w:r>
            <w:r w:rsidRPr="00A76CFB">
              <w:rPr>
                <w:rFonts w:ascii="Times New Roman" w:eastAsia="DengXian" w:hAnsi="Times New Roman" w:cs="Times New Roman"/>
                <w:szCs w:val="20"/>
                <w:vertAlign w:val="superscript"/>
              </w:rPr>
              <w:t>3</w:t>
            </w:r>
            <w:r w:rsidRPr="00A76CFB">
              <w:rPr>
                <w:rFonts w:ascii="Times New Roman" w:eastAsia="DengXian" w:hAnsi="Times New Roman" w:cs="Times New Roman"/>
                <w:szCs w:val="20"/>
              </w:rPr>
              <w:t>)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Total Paleogene sediment volume  (10</w:t>
            </w:r>
            <w:r w:rsidRPr="00A76CFB">
              <w:rPr>
                <w:rFonts w:ascii="Times New Roman" w:eastAsia="DengXian" w:hAnsi="Times New Roman" w:cs="Times New Roman"/>
                <w:szCs w:val="20"/>
                <w:vertAlign w:val="superscript"/>
              </w:rPr>
              <w:t>3</w:t>
            </w:r>
            <w:r w:rsidRPr="00A76CFB">
              <w:rPr>
                <w:rFonts w:ascii="Times New Roman" w:eastAsia="DengXian" w:hAnsi="Times New Roman" w:cs="Times New Roman"/>
                <w:szCs w:val="20"/>
              </w:rPr>
              <w:t xml:space="preserve"> km</w:t>
            </w:r>
            <w:r w:rsidRPr="00A76CFB">
              <w:rPr>
                <w:rFonts w:ascii="Times New Roman" w:eastAsia="DengXian" w:hAnsi="Times New Roman" w:cs="Times New Roman"/>
                <w:szCs w:val="20"/>
                <w:vertAlign w:val="superscript"/>
              </w:rPr>
              <w:t>3</w:t>
            </w:r>
            <w:r w:rsidRPr="00A76CFB">
              <w:rPr>
                <w:rFonts w:ascii="Times New Roman" w:eastAsia="DengXian" w:hAnsi="Times New Roman" w:cs="Times New Roman"/>
                <w:szCs w:val="20"/>
              </w:rPr>
              <w:t>)</w:t>
            </w:r>
          </w:p>
        </w:tc>
        <w:tc>
          <w:tcPr>
            <w:tcW w:w="2440" w:type="pct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Sedimentation rate (Mt/</w:t>
            </w:r>
            <w:proofErr w:type="spellStart"/>
            <w:r w:rsidRPr="00A76CFB">
              <w:rPr>
                <w:rFonts w:ascii="Times New Roman" w:eastAsia="DengXian" w:hAnsi="Times New Roman" w:cs="Times New Roman"/>
                <w:szCs w:val="20"/>
              </w:rPr>
              <w:t>yr</w:t>
            </w:r>
            <w:proofErr w:type="spellEnd"/>
            <w:r w:rsidRPr="00A76CFB">
              <w:rPr>
                <w:rFonts w:ascii="Times New Roman" w:eastAsia="DengXian" w:hAnsi="Times New Roman" w:cs="Times New Roman"/>
                <w:szCs w:val="20"/>
              </w:rPr>
              <w:t>)</w:t>
            </w:r>
          </w:p>
        </w:tc>
      </w:tr>
      <w:tr w:rsidR="00E64F72" w:rsidRPr="00A76CFB" w:rsidTr="00880A19">
        <w:trPr>
          <w:trHeight w:val="300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</w:p>
        </w:tc>
        <w:tc>
          <w:tcPr>
            <w:tcW w:w="68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0-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1.8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1.8-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5.3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5.3-11.4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11.4-16.3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16.3-23.6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23.6-54.9</w:t>
            </w:r>
          </w:p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</w:t>
            </w:r>
          </w:p>
        </w:tc>
      </w:tr>
      <w:tr w:rsidR="00E64F72" w:rsidRPr="00A76CFB" w:rsidTr="00880A19">
        <w:trPr>
          <w:trHeight w:val="280"/>
        </w:trPr>
        <w:tc>
          <w:tcPr>
            <w:tcW w:w="1280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Indus Fan</w:t>
            </w:r>
          </w:p>
        </w:tc>
        <w:tc>
          <w:tcPr>
            <w:tcW w:w="597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2670.5</w:t>
            </w:r>
          </w:p>
        </w:tc>
        <w:tc>
          <w:tcPr>
            <w:tcW w:w="683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1438</w:t>
            </w:r>
          </w:p>
        </w:tc>
        <w:tc>
          <w:tcPr>
            <w:tcW w:w="427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214.4</w:t>
            </w:r>
          </w:p>
        </w:tc>
        <w:tc>
          <w:tcPr>
            <w:tcW w:w="427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114.1</w:t>
            </w:r>
          </w:p>
        </w:tc>
        <w:tc>
          <w:tcPr>
            <w:tcW w:w="34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188.1</w:t>
            </w:r>
          </w:p>
        </w:tc>
        <w:tc>
          <w:tcPr>
            <w:tcW w:w="512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237.8</w:t>
            </w:r>
          </w:p>
        </w:tc>
        <w:tc>
          <w:tcPr>
            <w:tcW w:w="342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142.7</w:t>
            </w:r>
          </w:p>
        </w:tc>
        <w:tc>
          <w:tcPr>
            <w:tcW w:w="39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90.5</w:t>
            </w:r>
          </w:p>
        </w:tc>
      </w:tr>
      <w:tr w:rsidR="00E64F72" w:rsidRPr="00A76CFB" w:rsidTr="00880A19">
        <w:trPr>
          <w:trHeight w:val="280"/>
        </w:trPr>
        <w:tc>
          <w:tcPr>
            <w:tcW w:w="1280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Foreland Basin</w:t>
            </w:r>
          </w:p>
        </w:tc>
        <w:tc>
          <w:tcPr>
            <w:tcW w:w="59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1114.2</w:t>
            </w:r>
          </w:p>
        </w:tc>
        <w:tc>
          <w:tcPr>
            <w:tcW w:w="683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278.6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107.8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88.6</w:t>
            </w:r>
          </w:p>
        </w:tc>
        <w:tc>
          <w:tcPr>
            <w:tcW w:w="34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75.9</w:t>
            </w:r>
          </w:p>
        </w:tc>
        <w:tc>
          <w:tcPr>
            <w:tcW w:w="51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48.2</w:t>
            </w:r>
          </w:p>
        </w:tc>
        <w:tc>
          <w:tcPr>
            <w:tcW w:w="34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48.9</w:t>
            </w:r>
          </w:p>
        </w:tc>
        <w:tc>
          <w:tcPr>
            <w:tcW w:w="39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12.5</w:t>
            </w:r>
          </w:p>
        </w:tc>
      </w:tr>
      <w:tr w:rsidR="00E64F72" w:rsidRPr="00A76CFB" w:rsidTr="00880A19">
        <w:trPr>
          <w:trHeight w:val="280"/>
        </w:trPr>
        <w:tc>
          <w:tcPr>
            <w:tcW w:w="1280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Katawaz Basin</w:t>
            </w:r>
          </w:p>
        </w:tc>
        <w:tc>
          <w:tcPr>
            <w:tcW w:w="59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</w:t>
            </w:r>
          </w:p>
        </w:tc>
        <w:tc>
          <w:tcPr>
            <w:tcW w:w="683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390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34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51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34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39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17.4</w:t>
            </w:r>
          </w:p>
        </w:tc>
      </w:tr>
      <w:tr w:rsidR="00E64F72" w:rsidRPr="00A76CFB" w:rsidTr="00880A19">
        <w:trPr>
          <w:trHeight w:val="280"/>
        </w:trPr>
        <w:tc>
          <w:tcPr>
            <w:tcW w:w="1280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 xml:space="preserve">Sulaiman and Kirthar </w:t>
            </w:r>
          </w:p>
        </w:tc>
        <w:tc>
          <w:tcPr>
            <w:tcW w:w="59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390</w:t>
            </w:r>
          </w:p>
        </w:tc>
        <w:tc>
          <w:tcPr>
            <w:tcW w:w="683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11.9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46.3</w:t>
            </w:r>
          </w:p>
        </w:tc>
        <w:tc>
          <w:tcPr>
            <w:tcW w:w="34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46.3</w:t>
            </w:r>
          </w:p>
        </w:tc>
        <w:tc>
          <w:tcPr>
            <w:tcW w:w="51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18.8</w:t>
            </w:r>
          </w:p>
        </w:tc>
        <w:tc>
          <w:tcPr>
            <w:tcW w:w="34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10.9</w:t>
            </w:r>
          </w:p>
        </w:tc>
        <w:tc>
          <w:tcPr>
            <w:tcW w:w="39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3.0</w:t>
            </w:r>
          </w:p>
        </w:tc>
      </w:tr>
      <w:tr w:rsidR="00E64F72" w:rsidRPr="00A76CFB" w:rsidTr="00880A19">
        <w:trPr>
          <w:trHeight w:val="280"/>
        </w:trPr>
        <w:tc>
          <w:tcPr>
            <w:tcW w:w="1280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Makran</w:t>
            </w:r>
          </w:p>
        </w:tc>
        <w:tc>
          <w:tcPr>
            <w:tcW w:w="59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</w:t>
            </w:r>
          </w:p>
        </w:tc>
        <w:tc>
          <w:tcPr>
            <w:tcW w:w="683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1299.9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427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34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51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342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0.0</w:t>
            </w:r>
          </w:p>
        </w:tc>
        <w:tc>
          <w:tcPr>
            <w:tcW w:w="391" w:type="pct"/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58.1</w:t>
            </w:r>
          </w:p>
        </w:tc>
      </w:tr>
      <w:tr w:rsidR="00E64F72" w:rsidRPr="00A76CFB" w:rsidTr="00880A19">
        <w:trPr>
          <w:trHeight w:val="280"/>
        </w:trPr>
        <w:tc>
          <w:tcPr>
            <w:tcW w:w="1280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Total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4174.7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3406.5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334.1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249.0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310.3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304.7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202.4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64F72" w:rsidRPr="00A76CFB" w:rsidRDefault="00E64F72" w:rsidP="00166EEE">
            <w:pPr>
              <w:widowControl/>
              <w:jc w:val="center"/>
              <w:rPr>
                <w:rFonts w:ascii="Times New Roman" w:eastAsia="DengXian" w:hAnsi="Times New Roman" w:cs="Times New Roman"/>
                <w:szCs w:val="20"/>
              </w:rPr>
            </w:pPr>
            <w:r w:rsidRPr="00A76CFB">
              <w:rPr>
                <w:rFonts w:ascii="Times New Roman" w:eastAsia="DengXian" w:hAnsi="Times New Roman" w:cs="Times New Roman"/>
                <w:szCs w:val="20"/>
              </w:rPr>
              <w:t>181.6</w:t>
            </w:r>
          </w:p>
        </w:tc>
      </w:tr>
    </w:tbl>
    <w:p w:rsidR="00E64F72" w:rsidRPr="00A76CFB" w:rsidRDefault="00E64F72" w:rsidP="00227793">
      <w:pPr>
        <w:spacing w:line="480" w:lineRule="auto"/>
        <w:rPr>
          <w:rFonts w:ascii="Times New Roman" w:hAnsi="Times New Roman" w:cs="Times New Roman"/>
          <w:sz w:val="20"/>
          <w:szCs w:val="20"/>
        </w:rPr>
        <w:sectPr w:rsidR="00E64F72" w:rsidRPr="00A76CFB" w:rsidSect="00AB665D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D6FD1" w:rsidRPr="00A76CFB" w:rsidRDefault="008D6FD1" w:rsidP="008D6FD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lastRenderedPageBreak/>
        <w:t>Table S4</w:t>
      </w:r>
      <w:r w:rsidRPr="00A76CFB">
        <w:rPr>
          <w:rFonts w:ascii="Times New Roman" w:hAnsi="Times New Roman" w:cs="Times New Roman"/>
          <w:sz w:val="24"/>
          <w:szCs w:val="24"/>
        </w:rPr>
        <w:t xml:space="preserve"> Carbon and oxygen isotope record from pedogenic carbonates within the Indus River Basin (Files uploaded separately).</w:t>
      </w:r>
    </w:p>
    <w:p w:rsidR="008D6FD1" w:rsidRPr="00A76CFB" w:rsidRDefault="008D6FD1" w:rsidP="008D6FD1">
      <w:pPr>
        <w:pBdr>
          <w:top w:val="none" w:sz="0" w:space="0" w:color="auto"/>
        </w:pBdr>
        <w:spacing w:line="48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t>Table S5</w:t>
      </w:r>
      <w:r w:rsidRPr="00A76CFB">
        <w:rPr>
          <w:rFonts w:ascii="Times New Roman" w:hAnsi="Times New Roman" w:cs="Times New Roman"/>
          <w:sz w:val="24"/>
          <w:szCs w:val="24"/>
        </w:rPr>
        <w:t xml:space="preserve"> Carbon and oxygen isotope record from mammalian tooth enamel within the Indus River Basin (Files uploaded separately).</w:t>
      </w:r>
    </w:p>
    <w:p w:rsidR="00227793" w:rsidRDefault="00227793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76CFB">
        <w:rPr>
          <w:rFonts w:ascii="Times New Roman" w:hAnsi="Times New Roman" w:cs="Times New Roman"/>
          <w:b/>
          <w:sz w:val="24"/>
          <w:szCs w:val="24"/>
        </w:rPr>
        <w:t>Table</w:t>
      </w:r>
      <w:r w:rsidRPr="00A7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64F72" w:rsidRPr="00A7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2B762D" w:rsidRPr="00A7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A76C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A76C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</w:t>
      </w:r>
      <w:r w:rsidRPr="00A76CFB">
        <w:rPr>
          <w:rFonts w:ascii="Times New Roman" w:hAnsi="Times New Roman" w:cs="Times New Roman"/>
          <w:sz w:val="24"/>
          <w:szCs w:val="24"/>
        </w:rPr>
        <w:t>ermal properties of the rocks composing the tectonic blocks in the Indus River Basin which were input to the AGE2E-DOT program</w:t>
      </w:r>
      <w:r w:rsidR="008D6FD1" w:rsidRPr="00A76CFB">
        <w:rPr>
          <w:rFonts w:ascii="Times New Roman" w:hAnsi="Times New Roman" w:cs="Times New Roman"/>
          <w:sz w:val="24"/>
          <w:szCs w:val="24"/>
        </w:rPr>
        <w:t>.</w:t>
      </w:r>
    </w:p>
    <w:p w:rsidR="006E2547" w:rsidRPr="00A76CFB" w:rsidRDefault="006E2547" w:rsidP="0022779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5000" w:type="pct"/>
        <w:tblLook w:val="04A0" w:firstRow="1" w:lastRow="0" w:firstColumn="1" w:lastColumn="0" w:noHBand="0" w:noVBand="1"/>
      </w:tblPr>
      <w:tblGrid>
        <w:gridCol w:w="1276"/>
        <w:gridCol w:w="1702"/>
        <w:gridCol w:w="2551"/>
        <w:gridCol w:w="2771"/>
      </w:tblGrid>
      <w:tr w:rsidR="00227793" w:rsidRPr="00A76CFB" w:rsidTr="00880A19">
        <w:trPr>
          <w:trHeight w:val="250"/>
        </w:trPr>
        <w:tc>
          <w:tcPr>
            <w:tcW w:w="179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Parameter</w:t>
            </w: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Published value</w:t>
            </w:r>
          </w:p>
        </w:tc>
        <w:tc>
          <w:tcPr>
            <w:tcW w:w="16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Reference</w:t>
            </w:r>
          </w:p>
        </w:tc>
      </w:tr>
      <w:tr w:rsidR="00227793" w:rsidRPr="00A76CFB" w:rsidTr="00880A19">
        <w:trPr>
          <w:trHeight w:val="96"/>
        </w:trPr>
        <w:tc>
          <w:tcPr>
            <w:tcW w:w="769" w:type="pct"/>
            <w:vMerge w:val="restart"/>
            <w:tcBorders>
              <w:top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Heat production</w:t>
            </w:r>
          </w:p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GHS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 xml:space="preserve">0.8 to 3.0 </w:t>
            </w:r>
            <w:r w:rsidRPr="00A76CFB">
              <w:rPr>
                <w:rFonts w:ascii="Cambria Math" w:hAnsi="Cambria Math" w:cs="Cambria Math"/>
                <w:szCs w:val="20"/>
                <w:lang w:val="zh-TW" w:eastAsia="zh-TW"/>
              </w:rPr>
              <w:t>𝜇</w:t>
            </w:r>
            <w:r w:rsidRPr="00A76CFB">
              <w:rPr>
                <w:rFonts w:ascii="Times New Roman" w:hAnsi="Times New Roman" w:cs="Times New Roman"/>
                <w:szCs w:val="20"/>
              </w:rPr>
              <w:t>W·m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-3</w:t>
            </w:r>
          </w:p>
        </w:tc>
        <w:tc>
          <w:tcPr>
            <w:tcW w:w="1669" w:type="pct"/>
            <w:tcBorders>
              <w:top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England et al., 1992</w:t>
            </w:r>
          </w:p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A76CFB">
              <w:rPr>
                <w:rFonts w:ascii="Times New Roman" w:hAnsi="Times New Roman" w:cs="Times New Roman"/>
                <w:szCs w:val="20"/>
              </w:rPr>
              <w:t>Whipp</w:t>
            </w:r>
            <w:proofErr w:type="spellEnd"/>
            <w:r w:rsidRPr="00A76CFB">
              <w:rPr>
                <w:rFonts w:ascii="Times New Roman" w:hAnsi="Times New Roman" w:cs="Times New Roman"/>
                <w:szCs w:val="20"/>
              </w:rPr>
              <w:t xml:space="preserve"> et al., 2007</w:t>
            </w:r>
          </w:p>
        </w:tc>
      </w:tr>
      <w:tr w:rsidR="00227793" w:rsidRPr="00A76CFB" w:rsidTr="00880A19">
        <w:trPr>
          <w:trHeight w:val="62"/>
        </w:trPr>
        <w:tc>
          <w:tcPr>
            <w:tcW w:w="769" w:type="pct"/>
            <w:vMerge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5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THS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 xml:space="preserve">0.5 </w:t>
            </w:r>
            <w:r w:rsidRPr="00A76CFB">
              <w:rPr>
                <w:rFonts w:ascii="Cambria Math" w:hAnsi="Cambria Math" w:cs="Cambria Math"/>
                <w:szCs w:val="20"/>
                <w:lang w:val="zh-TW" w:eastAsia="zh-TW"/>
              </w:rPr>
              <w:t>𝜇</w:t>
            </w:r>
            <w:r w:rsidRPr="00A76CFB">
              <w:rPr>
                <w:rFonts w:ascii="Times New Roman" w:hAnsi="Times New Roman" w:cs="Times New Roman"/>
                <w:szCs w:val="20"/>
              </w:rPr>
              <w:t>W·m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-3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A76CFB">
              <w:rPr>
                <w:rFonts w:ascii="Times New Roman" w:hAnsi="Times New Roman" w:cs="Times New Roman"/>
                <w:szCs w:val="20"/>
              </w:rPr>
              <w:t>Rybach</w:t>
            </w:r>
            <w:proofErr w:type="spellEnd"/>
            <w:r w:rsidRPr="00A76CFB">
              <w:rPr>
                <w:rFonts w:ascii="Times New Roman" w:hAnsi="Times New Roman" w:cs="Times New Roman"/>
                <w:szCs w:val="20"/>
              </w:rPr>
              <w:t>, 1976</w:t>
            </w:r>
          </w:p>
        </w:tc>
      </w:tr>
      <w:tr w:rsidR="00227793" w:rsidRPr="00A76CFB" w:rsidTr="00880A19">
        <w:trPr>
          <w:trHeight w:val="148"/>
        </w:trPr>
        <w:tc>
          <w:tcPr>
            <w:tcW w:w="769" w:type="pct"/>
            <w:vMerge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5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LHS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 xml:space="preserve">0.8 </w:t>
            </w:r>
            <w:r w:rsidRPr="00A76CFB">
              <w:rPr>
                <w:rFonts w:ascii="Cambria Math" w:hAnsi="Cambria Math" w:cs="Cambria Math"/>
                <w:szCs w:val="20"/>
                <w:lang w:val="zh-TW" w:eastAsia="zh-TW"/>
              </w:rPr>
              <w:t>𝜇</w:t>
            </w:r>
            <w:r w:rsidRPr="00A76CFB">
              <w:rPr>
                <w:rFonts w:ascii="Times New Roman" w:hAnsi="Times New Roman" w:cs="Times New Roman"/>
                <w:szCs w:val="20"/>
              </w:rPr>
              <w:t>W·m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-3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Roy and Rao, 2000</w:t>
            </w:r>
          </w:p>
        </w:tc>
      </w:tr>
      <w:tr w:rsidR="00227793" w:rsidRPr="00A76CFB" w:rsidTr="00880A19">
        <w:trPr>
          <w:trHeight w:val="62"/>
        </w:trPr>
        <w:tc>
          <w:tcPr>
            <w:tcW w:w="769" w:type="pct"/>
            <w:vMerge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5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Karakoram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 xml:space="preserve">1.5 to 2.7 </w:t>
            </w:r>
            <w:r w:rsidRPr="00A76CFB">
              <w:rPr>
                <w:rFonts w:ascii="Cambria Math" w:hAnsi="Cambria Math" w:cs="Cambria Math"/>
                <w:szCs w:val="20"/>
                <w:lang w:val="zh-TW" w:eastAsia="zh-TW"/>
              </w:rPr>
              <w:t>𝜇</w:t>
            </w:r>
            <w:r w:rsidRPr="00A76CFB">
              <w:rPr>
                <w:rFonts w:ascii="Times New Roman" w:hAnsi="Times New Roman" w:cs="Times New Roman"/>
                <w:szCs w:val="20"/>
              </w:rPr>
              <w:t>W·m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-3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A76CFB">
              <w:rPr>
                <w:rFonts w:ascii="Times New Roman" w:hAnsi="Times New Roman" w:cs="Times New Roman"/>
                <w:szCs w:val="20"/>
              </w:rPr>
              <w:t>Rybach</w:t>
            </w:r>
            <w:proofErr w:type="spellEnd"/>
            <w:r w:rsidRPr="00A76CFB">
              <w:rPr>
                <w:rFonts w:ascii="Times New Roman" w:hAnsi="Times New Roman" w:cs="Times New Roman"/>
                <w:szCs w:val="20"/>
              </w:rPr>
              <w:t>, 1982</w:t>
            </w:r>
          </w:p>
        </w:tc>
      </w:tr>
      <w:tr w:rsidR="00227793" w:rsidRPr="00A76CFB" w:rsidTr="00880A19">
        <w:trPr>
          <w:trHeight w:val="100"/>
        </w:trPr>
        <w:tc>
          <w:tcPr>
            <w:tcW w:w="769" w:type="pct"/>
            <w:vMerge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5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Kohistan-Ladakh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 xml:space="preserve">2.7 </w:t>
            </w:r>
            <w:r w:rsidRPr="00A76CFB">
              <w:rPr>
                <w:rFonts w:ascii="Cambria Math" w:hAnsi="Cambria Math" w:cs="Cambria Math"/>
                <w:szCs w:val="20"/>
                <w:lang w:val="zh-TW" w:eastAsia="zh-TW"/>
              </w:rPr>
              <w:t>𝜇</w:t>
            </w:r>
            <w:r w:rsidRPr="00A76CFB">
              <w:rPr>
                <w:rFonts w:ascii="Times New Roman" w:hAnsi="Times New Roman" w:cs="Times New Roman"/>
                <w:szCs w:val="20"/>
              </w:rPr>
              <w:t>W·m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-3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A76CFB">
              <w:rPr>
                <w:rFonts w:ascii="Times New Roman" w:hAnsi="Times New Roman" w:cs="Times New Roman"/>
                <w:szCs w:val="20"/>
              </w:rPr>
              <w:t>Rybach</w:t>
            </w:r>
            <w:proofErr w:type="spellEnd"/>
            <w:r w:rsidRPr="00A76CFB">
              <w:rPr>
                <w:rFonts w:ascii="Times New Roman" w:hAnsi="Times New Roman" w:cs="Times New Roman"/>
                <w:szCs w:val="20"/>
              </w:rPr>
              <w:t>, 1982</w:t>
            </w:r>
          </w:p>
        </w:tc>
      </w:tr>
      <w:tr w:rsidR="00227793" w:rsidRPr="00A76CFB" w:rsidTr="00880A19">
        <w:trPr>
          <w:trHeight w:val="203"/>
        </w:trPr>
        <w:tc>
          <w:tcPr>
            <w:tcW w:w="1794" w:type="pct"/>
            <w:gridSpan w:val="2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Surface thermal gradient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20 to 40 °C·km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-1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Thiede et al., 2009</w:t>
            </w:r>
          </w:p>
        </w:tc>
      </w:tr>
      <w:tr w:rsidR="00227793" w:rsidRPr="00A76CFB" w:rsidTr="00880A19">
        <w:trPr>
          <w:trHeight w:val="62"/>
        </w:trPr>
        <w:tc>
          <w:tcPr>
            <w:tcW w:w="1794" w:type="pct"/>
            <w:gridSpan w:val="2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Surface temperature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10 °C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Adlakha et al., 2019</w:t>
            </w:r>
          </w:p>
        </w:tc>
      </w:tr>
      <w:tr w:rsidR="00227793" w:rsidRPr="00A76CFB" w:rsidTr="00880A19">
        <w:trPr>
          <w:trHeight w:val="155"/>
        </w:trPr>
        <w:tc>
          <w:tcPr>
            <w:tcW w:w="1794" w:type="pct"/>
            <w:gridSpan w:val="2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Upper crust thickness</w:t>
            </w:r>
          </w:p>
        </w:tc>
        <w:tc>
          <w:tcPr>
            <w:tcW w:w="1537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30 km</w:t>
            </w:r>
          </w:p>
        </w:tc>
        <w:tc>
          <w:tcPr>
            <w:tcW w:w="1669" w:type="pct"/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Adlakha et al., 2019</w:t>
            </w:r>
          </w:p>
        </w:tc>
      </w:tr>
      <w:tr w:rsidR="00227793" w:rsidRPr="00A76CFB" w:rsidTr="00880A19">
        <w:trPr>
          <w:trHeight w:val="490"/>
        </w:trPr>
        <w:tc>
          <w:tcPr>
            <w:tcW w:w="1794" w:type="pct"/>
            <w:gridSpan w:val="2"/>
            <w:tcBorders>
              <w:bottom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Thermal conductivity</w:t>
            </w:r>
          </w:p>
        </w:tc>
        <w:tc>
          <w:tcPr>
            <w:tcW w:w="1537" w:type="pct"/>
            <w:tcBorders>
              <w:bottom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2.0 to 3.5 W·m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-1</w:t>
            </w:r>
            <w:r w:rsidRPr="00A76CFB">
              <w:rPr>
                <w:rFonts w:ascii="Times New Roman" w:hAnsi="Times New Roman" w:cs="Times New Roman"/>
                <w:szCs w:val="20"/>
              </w:rPr>
              <w:t>K</w:t>
            </w:r>
            <w:r w:rsidRPr="00A76CFB">
              <w:rPr>
                <w:rFonts w:ascii="Times New Roman" w:hAnsi="Times New Roman" w:cs="Times New Roman"/>
                <w:szCs w:val="20"/>
                <w:vertAlign w:val="superscript"/>
              </w:rPr>
              <w:t>-1</w:t>
            </w:r>
          </w:p>
        </w:tc>
        <w:tc>
          <w:tcPr>
            <w:tcW w:w="1669" w:type="pct"/>
            <w:tcBorders>
              <w:bottom w:val="single" w:sz="4" w:space="0" w:color="auto"/>
            </w:tcBorders>
            <w:vAlign w:val="center"/>
          </w:tcPr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Ray et al., 2007</w:t>
            </w:r>
          </w:p>
          <w:p w:rsidR="00227793" w:rsidRPr="00A76CFB" w:rsidRDefault="00227793" w:rsidP="00880A19">
            <w:pPr>
              <w:spacing w:line="48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76CFB">
              <w:rPr>
                <w:rFonts w:ascii="Times New Roman" w:hAnsi="Times New Roman" w:cs="Times New Roman"/>
                <w:szCs w:val="20"/>
              </w:rPr>
              <w:t>Thiede et al., 2009</w:t>
            </w:r>
          </w:p>
        </w:tc>
      </w:tr>
    </w:tbl>
    <w:p w:rsidR="007517FC" w:rsidRPr="00A76CFB" w:rsidRDefault="007517FC" w:rsidP="00E64F72">
      <w:pPr>
        <w:rPr>
          <w:rFonts w:ascii="Times New Roman" w:hAnsi="Times New Roman" w:cs="Times New Roman"/>
        </w:rPr>
      </w:pPr>
    </w:p>
    <w:sectPr w:rsidR="007517FC" w:rsidRPr="00A76CFB" w:rsidSect="00AB66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Kaiti SC">
    <w:altName w:val="微软雅黑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Times New Roman (正文 CS 字体)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(标题 CS)">
    <w:altName w:val="宋体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818C7"/>
    <w:multiLevelType w:val="hybridMultilevel"/>
    <w:tmpl w:val="CB6473F4"/>
    <w:lvl w:ilvl="0" w:tplc="6696E62A">
      <w:start w:val="1"/>
      <w:numFmt w:val="decimal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D2462F"/>
    <w:multiLevelType w:val="multilevel"/>
    <w:tmpl w:val="A73C5CCC"/>
    <w:lvl w:ilvl="0">
      <w:start w:val="1"/>
      <w:numFmt w:val="decimal"/>
      <w:pStyle w:val="1"/>
      <w:lvlText w:val="%1"/>
      <w:lvlJc w:val="left"/>
      <w:pPr>
        <w:ind w:left="340" w:hanging="34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340" w:hanging="340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340" w:hanging="340"/>
      </w:pPr>
      <w:rPr>
        <w:rFonts w:hint="eastAsia"/>
      </w:rPr>
    </w:lvl>
    <w:lvl w:ilvl="3">
      <w:start w:val="1"/>
      <w:numFmt w:val="lowerLetter"/>
      <w:pStyle w:val="4"/>
      <w:lvlText w:val="%4."/>
      <w:lvlJc w:val="left"/>
      <w:pPr>
        <w:ind w:left="340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6BA31068"/>
    <w:multiLevelType w:val="multilevel"/>
    <w:tmpl w:val="B9C09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7E0A2739"/>
    <w:multiLevelType w:val="multilevel"/>
    <w:tmpl w:val="C8E6BF86"/>
    <w:lvl w:ilvl="0">
      <w:start w:val="1"/>
      <w:numFmt w:val="none"/>
      <w:pStyle w:val="Goodword1"/>
      <w:lvlText w:val=""/>
      <w:lvlJc w:val="left"/>
      <w:pPr>
        <w:ind w:left="0" w:firstLine="0"/>
      </w:pPr>
    </w:lvl>
    <w:lvl w:ilvl="1">
      <w:start w:val="1"/>
      <w:numFmt w:val="decimal"/>
      <w:pStyle w:val="GoodWord2"/>
      <w:lvlText w:val="%1%2"/>
      <w:lvlJc w:val="left"/>
      <w:pPr>
        <w:ind w:left="0" w:firstLine="0"/>
      </w:pPr>
    </w:lvl>
    <w:lvl w:ilvl="2">
      <w:start w:val="1"/>
      <w:numFmt w:val="upperLetter"/>
      <w:pStyle w:val="Goodword3"/>
      <w:lvlText w:val="%1%3"/>
      <w:lvlJc w:val="left"/>
      <w:pPr>
        <w:ind w:left="851" w:hanging="284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0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793"/>
    <w:rsid w:val="00166EEE"/>
    <w:rsid w:val="00227793"/>
    <w:rsid w:val="002B762D"/>
    <w:rsid w:val="006E2547"/>
    <w:rsid w:val="007517FC"/>
    <w:rsid w:val="007754AC"/>
    <w:rsid w:val="007C0413"/>
    <w:rsid w:val="0082453C"/>
    <w:rsid w:val="008C21A5"/>
    <w:rsid w:val="008D6FD1"/>
    <w:rsid w:val="00A4719D"/>
    <w:rsid w:val="00A76CFB"/>
    <w:rsid w:val="00A84DCC"/>
    <w:rsid w:val="00AB665D"/>
    <w:rsid w:val="00B95969"/>
    <w:rsid w:val="00BC6EED"/>
    <w:rsid w:val="00CA1A99"/>
    <w:rsid w:val="00DD3441"/>
    <w:rsid w:val="00E6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06FD8"/>
  <w15:chartTrackingRefBased/>
  <w15:docId w15:val="{84C83E30-6FDB-274B-BDAC-699CC1C9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793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360" w:lineRule="auto"/>
      <w:jc w:val="both"/>
    </w:pPr>
    <w:rPr>
      <w:rFonts w:ascii="Arial" w:eastAsia="Arial" w:hAnsi="Arial" w:cs="Arial"/>
      <w:color w:val="000000"/>
      <w:szCs w:val="21"/>
      <w:u w:color="000000"/>
      <w:bdr w:val="nil"/>
    </w:rPr>
  </w:style>
  <w:style w:type="paragraph" w:styleId="10">
    <w:name w:val="heading 1"/>
    <w:basedOn w:val="a"/>
    <w:next w:val="a"/>
    <w:link w:val="11"/>
    <w:uiPriority w:val="9"/>
    <w:qFormat/>
    <w:rsid w:val="008C21A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  <w:bdr w:val="none" w:sz="0" w:space="0" w:color="auto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2453C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  <w:bdr w:val="none" w:sz="0" w:space="0" w:color="auto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82453C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color w:val="auto"/>
      <w:sz w:val="32"/>
      <w:szCs w:val="32"/>
      <w:bdr w:val="none" w:sz="0" w:space="0" w:color="auto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82453C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color w:val="auto"/>
      <w:sz w:val="28"/>
      <w:szCs w:val="28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odword1">
    <w:name w:val="Good word 标题1"/>
    <w:basedOn w:val="10"/>
    <w:next w:val="a"/>
    <w:autoRedefine/>
    <w:qFormat/>
    <w:rsid w:val="00B95969"/>
    <w:pPr>
      <w:numPr>
        <w:numId w:val="11"/>
      </w:numPr>
      <w:spacing w:before="0" w:after="0" w:line="240" w:lineRule="auto"/>
      <w:jc w:val="center"/>
    </w:pPr>
    <w:rPr>
      <w:rFonts w:ascii="微软雅黑" w:eastAsia="微软雅黑" w:hAnsi="微软雅黑" w:cs="微软雅黑"/>
      <w:bCs w:val="0"/>
      <w:color w:val="FF0000"/>
      <w:sz w:val="30"/>
    </w:rPr>
  </w:style>
  <w:style w:type="paragraph" w:customStyle="1" w:styleId="GoodWord2">
    <w:name w:val="Good Word 标题2"/>
    <w:basedOn w:val="20"/>
    <w:next w:val="a"/>
    <w:autoRedefine/>
    <w:qFormat/>
    <w:rsid w:val="00B95969"/>
    <w:pPr>
      <w:numPr>
        <w:ilvl w:val="1"/>
        <w:numId w:val="11"/>
      </w:numPr>
      <w:spacing w:before="0" w:after="0" w:line="240" w:lineRule="auto"/>
      <w:jc w:val="left"/>
    </w:pPr>
    <w:rPr>
      <w:rFonts w:ascii="Arial" w:eastAsia="Arial" w:hAnsi="Arial"/>
      <w:sz w:val="28"/>
    </w:rPr>
  </w:style>
  <w:style w:type="paragraph" w:customStyle="1" w:styleId="Goodword3">
    <w:name w:val="Good word 标题3"/>
    <w:basedOn w:val="30"/>
    <w:next w:val="a"/>
    <w:autoRedefine/>
    <w:qFormat/>
    <w:rsid w:val="00B95969"/>
    <w:pPr>
      <w:numPr>
        <w:ilvl w:val="2"/>
        <w:numId w:val="11"/>
      </w:numPr>
      <w:spacing w:before="0" w:after="0" w:line="240" w:lineRule="auto"/>
      <w:jc w:val="left"/>
    </w:pPr>
    <w:rPr>
      <w:rFonts w:ascii="Arial" w:eastAsia="Kaiti SC" w:hAnsi="Arial"/>
      <w:sz w:val="28"/>
    </w:rPr>
  </w:style>
  <w:style w:type="character" w:customStyle="1" w:styleId="11">
    <w:name w:val="标题 1 字符"/>
    <w:basedOn w:val="a0"/>
    <w:link w:val="10"/>
    <w:uiPriority w:val="9"/>
    <w:rsid w:val="008C21A5"/>
    <w:rPr>
      <w:b/>
      <w:bCs/>
      <w:kern w:val="44"/>
      <w:sz w:val="44"/>
      <w:szCs w:val="44"/>
    </w:rPr>
  </w:style>
  <w:style w:type="paragraph" w:customStyle="1" w:styleId="1">
    <w:name w:val="地质背景标题1"/>
    <w:basedOn w:val="10"/>
    <w:next w:val="a"/>
    <w:qFormat/>
    <w:rsid w:val="0082453C"/>
    <w:pPr>
      <w:numPr>
        <w:numId w:val="5"/>
      </w:numPr>
      <w:spacing w:before="0" w:after="0" w:line="240" w:lineRule="auto"/>
    </w:pPr>
    <w:rPr>
      <w:rFonts w:cs="Times New Roman (正文 CS 字体)"/>
      <w:sz w:val="28"/>
    </w:rPr>
  </w:style>
  <w:style w:type="paragraph" w:customStyle="1" w:styleId="2">
    <w:name w:val="地质背景标题2"/>
    <w:basedOn w:val="20"/>
    <w:qFormat/>
    <w:rsid w:val="0082453C"/>
    <w:pPr>
      <w:numPr>
        <w:ilvl w:val="1"/>
        <w:numId w:val="5"/>
      </w:numPr>
      <w:spacing w:before="0" w:after="0" w:line="240" w:lineRule="auto"/>
    </w:pPr>
    <w:rPr>
      <w:rFonts w:asciiTheme="minorHAnsi" w:eastAsiaTheme="minorEastAsia" w:hAnsiTheme="minorHAnsi" w:cs="Times New Roman (标题 CS)"/>
      <w:sz w:val="21"/>
    </w:rPr>
  </w:style>
  <w:style w:type="character" w:customStyle="1" w:styleId="21">
    <w:name w:val="标题 2 字符"/>
    <w:basedOn w:val="a0"/>
    <w:link w:val="20"/>
    <w:uiPriority w:val="9"/>
    <w:semiHidden/>
    <w:rsid w:val="0082453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3">
    <w:name w:val="地质背景标题3"/>
    <w:basedOn w:val="30"/>
    <w:qFormat/>
    <w:rsid w:val="0082453C"/>
    <w:pPr>
      <w:numPr>
        <w:ilvl w:val="2"/>
        <w:numId w:val="5"/>
      </w:numPr>
      <w:spacing w:before="0" w:after="0" w:line="240" w:lineRule="auto"/>
    </w:pPr>
    <w:rPr>
      <w:rFonts w:cs="Times New Roman (正文 CS 字体)"/>
      <w:sz w:val="21"/>
    </w:rPr>
  </w:style>
  <w:style w:type="character" w:customStyle="1" w:styleId="31">
    <w:name w:val="标题 3 字符"/>
    <w:basedOn w:val="a0"/>
    <w:link w:val="30"/>
    <w:uiPriority w:val="9"/>
    <w:semiHidden/>
    <w:rsid w:val="0082453C"/>
    <w:rPr>
      <w:b/>
      <w:bCs/>
      <w:sz w:val="32"/>
      <w:szCs w:val="32"/>
    </w:rPr>
  </w:style>
  <w:style w:type="paragraph" w:customStyle="1" w:styleId="4">
    <w:name w:val="地质背景标题4"/>
    <w:basedOn w:val="40"/>
    <w:qFormat/>
    <w:rsid w:val="0082453C"/>
    <w:pPr>
      <w:numPr>
        <w:ilvl w:val="3"/>
        <w:numId w:val="5"/>
      </w:numPr>
      <w:spacing w:before="0" w:after="0" w:line="240" w:lineRule="auto"/>
    </w:pPr>
    <w:rPr>
      <w:rFonts w:asciiTheme="minorHAnsi" w:eastAsiaTheme="minorEastAsia" w:hAnsiTheme="minorHAnsi" w:cs="Times New Roman (标题 CS)"/>
      <w:sz w:val="21"/>
    </w:rPr>
  </w:style>
  <w:style w:type="character" w:customStyle="1" w:styleId="41">
    <w:name w:val="标题 4 字符"/>
    <w:basedOn w:val="a0"/>
    <w:link w:val="40"/>
    <w:uiPriority w:val="9"/>
    <w:semiHidden/>
    <w:rsid w:val="008245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annotation text"/>
    <w:basedOn w:val="a"/>
    <w:link w:val="a4"/>
    <w:autoRedefine/>
    <w:uiPriority w:val="99"/>
    <w:unhideWhenUsed/>
    <w:qFormat/>
    <w:rsid w:val="00A84D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jc w:val="left"/>
    </w:pPr>
    <w:rPr>
      <w:rFonts w:eastAsiaTheme="minorEastAsia" w:cs="Times New Roman (正文 CS 字体)"/>
      <w:color w:val="auto"/>
      <w:sz w:val="24"/>
      <w:szCs w:val="24"/>
      <w:bdr w:val="none" w:sz="0" w:space="0" w:color="auto"/>
    </w:rPr>
  </w:style>
  <w:style w:type="character" w:customStyle="1" w:styleId="a4">
    <w:name w:val="批注文字 字符"/>
    <w:basedOn w:val="a0"/>
    <w:link w:val="a3"/>
    <w:uiPriority w:val="99"/>
    <w:rsid w:val="00A84DCC"/>
    <w:rPr>
      <w:rFonts w:ascii="Arial" w:hAnsi="Arial" w:cs="Times New Roman (正文 CS 字体)"/>
      <w:sz w:val="24"/>
    </w:rPr>
  </w:style>
  <w:style w:type="paragraph" w:customStyle="1" w:styleId="a5">
    <w:name w:val="公式"/>
    <w:basedOn w:val="a"/>
    <w:next w:val="a"/>
    <w:autoRedefine/>
    <w:qFormat/>
    <w:rsid w:val="00B95969"/>
    <w:pPr>
      <w:tabs>
        <w:tab w:val="center" w:pos="4150"/>
        <w:tab w:val="right" w:pos="10104"/>
      </w:tabs>
    </w:pPr>
    <w:rPr>
      <w:rFonts w:ascii="Cambria Math" w:hAnsi="Cambria Math"/>
    </w:rPr>
  </w:style>
  <w:style w:type="paragraph" w:customStyle="1" w:styleId="a6">
    <w:name w:val="地质背景大标题"/>
    <w:basedOn w:val="a7"/>
    <w:autoRedefine/>
    <w:qFormat/>
    <w:rsid w:val="00B95969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" w:hAnsi="Arial" w:cs="Times New Roman (标题 CS)"/>
      <w:color w:val="000000"/>
      <w:sz w:val="36"/>
      <w:bdr w:val="nil"/>
    </w:rPr>
  </w:style>
  <w:style w:type="paragraph" w:styleId="a7">
    <w:name w:val="Title"/>
    <w:basedOn w:val="a"/>
    <w:next w:val="a"/>
    <w:link w:val="a8"/>
    <w:uiPriority w:val="10"/>
    <w:qFormat/>
    <w:rsid w:val="00B959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  <w:bdr w:val="none" w:sz="0" w:space="0" w:color="auto"/>
    </w:rPr>
  </w:style>
  <w:style w:type="character" w:customStyle="1" w:styleId="a8">
    <w:name w:val="标题 字符"/>
    <w:basedOn w:val="a0"/>
    <w:link w:val="a7"/>
    <w:uiPriority w:val="10"/>
    <w:rsid w:val="00B95969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TableNormal1">
    <w:name w:val="Table Normal1"/>
    <w:rsid w:val="0022779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MHeading">
    <w:name w:val="SM Heading"/>
    <w:basedOn w:val="10"/>
    <w:qFormat/>
    <w:rsid w:val="008D6FD1"/>
    <w:pPr>
      <w:keepLines w:val="0"/>
      <w:widowControl/>
      <w:spacing w:before="240" w:after="60" w:line="240" w:lineRule="auto"/>
      <w:jc w:val="left"/>
    </w:pPr>
    <w:rPr>
      <w:rFonts w:ascii="Times New Roman" w:eastAsia="宋体" w:hAnsi="Times New Roman" w:cs="Times New Roman"/>
      <w:kern w:val="32"/>
      <w:sz w:val="24"/>
      <w:szCs w:val="24"/>
      <w:lang w:eastAsia="en-US"/>
    </w:rPr>
  </w:style>
  <w:style w:type="paragraph" w:customStyle="1" w:styleId="SMText">
    <w:name w:val="SM Text"/>
    <w:basedOn w:val="a"/>
    <w:qFormat/>
    <w:rsid w:val="008D6FD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firstLine="480"/>
      <w:jc w:val="left"/>
    </w:pPr>
    <w:rPr>
      <w:rFonts w:ascii="Times New Roman" w:eastAsia="宋体" w:hAnsi="Times New Roman" w:cs="Times New Roman"/>
      <w:color w:val="auto"/>
      <w:kern w:val="0"/>
      <w:sz w:val="24"/>
      <w:szCs w:val="20"/>
      <w:bdr w:val="none" w:sz="0" w:space="0" w:color="auto"/>
      <w:lang w:eastAsia="en-US"/>
    </w:rPr>
  </w:style>
  <w:style w:type="paragraph" w:customStyle="1" w:styleId="SMcaption">
    <w:name w:val="SM caption"/>
    <w:basedOn w:val="SMText"/>
    <w:qFormat/>
    <w:rsid w:val="008D6FD1"/>
    <w:pPr>
      <w:ind w:firstLine="0"/>
    </w:pPr>
  </w:style>
  <w:style w:type="character" w:styleId="a9">
    <w:name w:val="line number"/>
    <w:basedOn w:val="a0"/>
    <w:uiPriority w:val="99"/>
    <w:semiHidden/>
    <w:unhideWhenUsed/>
    <w:rsid w:val="008D6FD1"/>
  </w:style>
  <w:style w:type="paragraph" w:styleId="aa">
    <w:name w:val="Balloon Text"/>
    <w:basedOn w:val="a"/>
    <w:link w:val="ab"/>
    <w:uiPriority w:val="99"/>
    <w:semiHidden/>
    <w:unhideWhenUsed/>
    <w:rsid w:val="00166EEE"/>
    <w:pPr>
      <w:spacing w:line="240" w:lineRule="auto"/>
    </w:pPr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66EEE"/>
    <w:rPr>
      <w:rFonts w:ascii="宋体" w:eastAsia="宋体" w:hAnsi="Arial" w:cs="Arial"/>
      <w:color w:val="000000"/>
      <w:sz w:val="18"/>
      <w:szCs w:val="1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E63AED-BC02-DC4A-961D-45B8AE87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feng</dc:creator>
  <cp:keywords/>
  <dc:description/>
  <cp:lastModifiedBy>han feng</cp:lastModifiedBy>
  <cp:revision>10</cp:revision>
  <dcterms:created xsi:type="dcterms:W3CDTF">2020-05-10T22:49:00Z</dcterms:created>
  <dcterms:modified xsi:type="dcterms:W3CDTF">2020-05-24T02:44:00Z</dcterms:modified>
</cp:coreProperties>
</file>